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315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3C9A">
        <w:rPr>
          <w:rFonts w:ascii="Times New Roman" w:hAnsi="Times New Roman" w:cs="Times New Roman"/>
          <w:sz w:val="24"/>
          <w:szCs w:val="24"/>
        </w:rPr>
        <w:t>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022407</w:t>
      </w:r>
      <w:r>
        <w:rPr>
          <w:rFonts w:ascii="Times New Roman" w:hAnsi="Times New Roman" w:cs="Times New Roman"/>
          <w:color w:val="000000"/>
          <w:sz w:val="24"/>
          <w:szCs w:val="24"/>
        </w:rPr>
        <w:t>22004635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D43FC2">
        <w:rPr>
          <w:rFonts w:ascii="Times New Roman" w:hAnsi="Times New Roman" w:cs="Times New Roman"/>
          <w:sz w:val="24"/>
          <w:szCs w:val="24"/>
        </w:rPr>
        <w:t>3</w:t>
      </w:r>
      <w:r w:rsidR="00BD746B">
        <w:rPr>
          <w:rFonts w:ascii="Times New Roman" w:hAnsi="Times New Roman" w:cs="Times New Roman"/>
          <w:sz w:val="24"/>
          <w:szCs w:val="24"/>
        </w:rPr>
        <w:t>02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BD746B">
        <w:rPr>
          <w:rFonts w:ascii="Times New Roman" w:hAnsi="Times New Roman" w:cs="Times New Roman"/>
          <w:color w:val="000000"/>
          <w:sz w:val="24"/>
          <w:szCs w:val="24"/>
        </w:rPr>
        <w:t>№18810502240722004635 от 22.07.2024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43FC2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D43FC2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D43FC2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D746B" w:rsidR="00BD746B">
        <w:rPr>
          <w:rFonts w:ascii="Times New Roman" w:hAnsi="Times New Roman" w:cs="Times New Roman"/>
          <w:sz w:val="24"/>
          <w:szCs w:val="24"/>
        </w:rPr>
        <w:t>0412365400335005672520158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BD746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BD746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746B" w:rsidRPr="00BD746B" w:rsidP="00BD74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D746B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0A209E" w:rsidRPr="00BD746B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BD746B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BD746B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BD746B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</w:t>
    </w:r>
    <w:r w:rsidR="00BD746B">
      <w:rPr>
        <w:rFonts w:ascii="Times New Roman" w:hAnsi="Times New Roman" w:cs="Times New Roman"/>
      </w:rPr>
      <w:t>7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</w:t>
    </w:r>
    <w:r w:rsidR="00BD746B">
      <w:rPr>
        <w:rFonts w:ascii="Times New Roman" w:hAnsi="Times New Roman" w:cs="Times New Roman"/>
      </w:rPr>
      <w:t>9712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315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D7732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3290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